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dziennikarstwa</w:t>
      </w:r>
    </w:p>
    <w:p>
      <w:pPr>
        <w:pStyle w:val="Subtitle"/>
      </w:pPr>
      <w:r>
        <w:t xml:space="preserve">Analiza zawartości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dziennikarstwa”.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dziennikarstwo i komunikacja;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[Kontekst (rola mediów), cel pracy, zapowiedź rozdziałów i metody.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media-gatunki-pojęcia-kluczowe"/>
    <w:p>
      <w:pPr>
        <w:pStyle w:val="Heading2"/>
      </w:pPr>
      <w:r>
        <w:t xml:space="preserve">1.1. [Media / gatunki / pojęcia kluczowe]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analiza-zawartości-jako-metoda"/>
    <w:p>
      <w:pPr>
        <w:pStyle w:val="Heading2"/>
      </w:pPr>
      <w:r>
        <w:t xml:space="preserve">1.2. Analiza zawartości jako metoda</w:t>
      </w:r>
    </w:p>
    <w:p>
      <w:pPr>
        <w:pStyle w:val="FirstParagraph"/>
      </w:pPr>
      <w:r>
        <w:rPr>
          <w:i/>
          <w:iCs/>
        </w:rPr>
        <w:t xml:space="preserve">[Charakterystyka metody i jej ograniczeń.]</w:t>
      </w:r>
    </w:p>
    <w:bookmarkEnd w:id="23"/>
    <w:bookmarkEnd w:id="24"/>
    <w:bookmarkStart w:id="27" w:name="rozdział-ii.-metodologia-badań-własnych"/>
    <w:p>
      <w:pPr>
        <w:pStyle w:val="Heading1"/>
      </w:pPr>
      <w:r>
        <w:t xml:space="preserve">Rozdział II. Metodologia badań własnych</w:t>
      </w:r>
    </w:p>
    <w:bookmarkStart w:id="25" w:name="cel-problemy-i-materiał"/>
    <w:p>
      <w:pPr>
        <w:pStyle w:val="Heading2"/>
      </w:pPr>
      <w:r>
        <w:t xml:space="preserve">2.1. Cel, problemy i materiał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Materiał:</w:t>
      </w:r>
      <w:r>
        <w:t xml:space="preserve"> </w:t>
      </w:r>
      <w:r>
        <w:rPr>
          <w:i/>
          <w:iCs/>
        </w:rPr>
        <w:t xml:space="preserve">[liczba i rodzaj publikacji, okres, źródło]</w:t>
      </w:r>
    </w:p>
    <w:bookmarkEnd w:id="25"/>
    <w:bookmarkStart w:id="26" w:name="klucz-kategoryzacyjny"/>
    <w:p>
      <w:pPr>
        <w:pStyle w:val="Heading2"/>
      </w:pPr>
      <w:r>
        <w:t xml:space="preserve">2.2. Klucz kategoryzacyjny</w:t>
      </w:r>
    </w:p>
    <w:p>
      <w:pPr>
        <w:pStyle w:val="FirstParagraph"/>
      </w:pPr>
      <w:r>
        <w:rPr>
          <w:i/>
          <w:iCs/>
        </w:rPr>
        <w:t xml:space="preserve">[Zdefiniuj kategorie kodowania, np.: gatunek, wydźwięk (pozytywny/neutralny/negatywny), tematyka, obecność ekspertów, źródło informacji.]</w:t>
      </w:r>
    </w:p>
    <w:bookmarkEnd w:id="26"/>
    <w:bookmarkEnd w:id="27"/>
    <w:bookmarkStart w:id="28" w:name="X4704f283d052fd99e096e476a1ba9601cbe2741"/>
    <w:p>
      <w:pPr>
        <w:pStyle w:val="Heading1"/>
      </w:pPr>
      <w:r>
        <w:t xml:space="preserve">Rozdział III. Analiza zawartości i wyniki</w:t>
      </w:r>
    </w:p>
    <w:p>
      <w:pPr>
        <w:pStyle w:val="FirstParagraph"/>
      </w:pPr>
      <w:r>
        <w:rPr>
          <w:i/>
          <w:iCs/>
        </w:rPr>
        <w:t xml:space="preserve">[Wyniki w tabelach/na wykresach + opis interpretujący odniesiony do problemów; uzupełnij przykładami z tekstów.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</w:t>
            </w:r>
          </w:p>
        </w:tc>
        <w:tc>
          <w:tcPr/>
          <w:p>
            <w:pPr>
              <w:pStyle w:val="Compact"/>
            </w:pPr>
            <w:r>
              <w:t xml:space="preserve">Liczba (n)</w:t>
            </w:r>
          </w:p>
        </w:tc>
        <w:tc>
          <w:tcPr/>
          <w:p>
            <w:pPr>
              <w:pStyle w:val="Compact"/>
            </w:pPr>
            <w:r>
              <w:t xml:space="preserve">Udział (%)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28"/>
    <w:bookmarkStart w:id="29" w:name="wnioski"/>
    <w:p>
      <w:pPr>
        <w:pStyle w:val="Heading1"/>
      </w:pPr>
      <w:r>
        <w:t xml:space="preserve">Wnioski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problemy. Ograniczenia.]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9"/>
    <w:bookmarkStart w:id="30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0"/>
    <w:bookmarkStart w:id="31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[Styl jednolity wg wytycznych wydziału. Każda pozycja cytowana w tekście i odwrotnie.]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1"/>
    <w:bookmarkStart w:id="32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[Klucz kategoryzacyjny, zestawienie analizowanych materiałów.]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dziennikarstwa</dc:title>
  <dc:creator/>
  <dc:language>pl</dc:language>
  <cp:keywords/>
  <dcterms:created xsi:type="dcterms:W3CDTF">2026-06-14T17:16:07Z</dcterms:created>
  <dcterms:modified xsi:type="dcterms:W3CDTF">2026-06-14T17:16:07Z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Analiza zawartości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